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Cs w:val="21"/>
        </w:rPr>
      </w:pPr>
      <w:r>
        <w:rPr>
          <w:rFonts w:hint="eastAsia"/>
          <w:b/>
          <w:szCs w:val="21"/>
        </w:rPr>
        <w:t>一、 判断题</w:t>
      </w:r>
    </w:p>
    <w:p>
      <w:pPr>
        <w:pStyle w:val="23"/>
        <w:numPr>
          <w:ilvl w:val="0"/>
          <w:numId w:val="1"/>
        </w:numPr>
        <w:ind w:firstLineChars="0"/>
        <w:jc w:val="left"/>
        <w:rPr>
          <w:szCs w:val="21"/>
        </w:rPr>
      </w:pPr>
      <w:r>
        <w:rPr>
          <w:rFonts w:hint="eastAsia"/>
          <w:szCs w:val="21"/>
        </w:rPr>
        <w:t>依据《国内海洋小型渔船法定检验技术规则（2019）》，</w:t>
      </w:r>
      <w:r>
        <w:rPr>
          <w:szCs w:val="21"/>
        </w:rPr>
        <w:t>临时航行证书适用于船舶试航或短期、临时从事某种航行、作业的船舶。</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依据《国内海洋小型渔船法定检验技术规则（2019）》，渔船安全证书</w:t>
      </w:r>
      <w:r>
        <w:rPr>
          <w:szCs w:val="21"/>
        </w:rPr>
        <w:t>有效期为</w:t>
      </w:r>
      <w:r>
        <w:rPr>
          <w:rFonts w:hint="eastAsia"/>
          <w:szCs w:val="21"/>
        </w:rPr>
        <w:t>不超过60个</w:t>
      </w:r>
      <w:r>
        <w:rPr>
          <w:szCs w:val="21"/>
        </w:rPr>
        <w:t>月。</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渔船临时乘</w:t>
      </w:r>
      <w:r>
        <w:rPr>
          <w:rFonts w:hint="eastAsia"/>
          <w:szCs w:val="21"/>
          <w:lang w:val="en-US" w:eastAsia="zh-CN"/>
        </w:rPr>
        <w:t>员</w:t>
      </w:r>
      <w:r>
        <w:rPr>
          <w:szCs w:val="21"/>
        </w:rPr>
        <w:t>定额证书的有效期限可根据实际情况确定，但不超过3个月</w:t>
      </w:r>
      <w:r>
        <w:rPr>
          <w:rFonts w:hint="eastAsia"/>
          <w:szCs w:val="21"/>
        </w:rPr>
        <w:t>，一年不超过两次</w:t>
      </w:r>
      <w:r>
        <w:rPr>
          <w:szCs w:val="21"/>
        </w:rPr>
        <w:t>。</w:t>
      </w:r>
    </w:p>
    <w:p>
      <w:pPr>
        <w:jc w:val="left"/>
        <w:rPr>
          <w:szCs w:val="21"/>
        </w:rPr>
      </w:pPr>
      <w:r>
        <w:rPr>
          <w:rFonts w:hint="eastAsia"/>
          <w:szCs w:val="21"/>
        </w:rPr>
        <w:t>答案：×</w:t>
      </w:r>
    </w:p>
    <w:p>
      <w:pPr>
        <w:pStyle w:val="23"/>
        <w:numPr>
          <w:ilvl w:val="0"/>
          <w:numId w:val="1"/>
        </w:numPr>
        <w:ind w:firstLineChars="0"/>
        <w:jc w:val="left"/>
        <w:rPr>
          <w:szCs w:val="21"/>
        </w:rPr>
      </w:pPr>
      <w:r>
        <w:rPr>
          <w:rFonts w:hint="eastAsia"/>
          <w:szCs w:val="21"/>
        </w:rPr>
        <w:t>依据《国内海洋渔船法定检验技术规则（2019）》，</w:t>
      </w:r>
      <w:r>
        <w:rPr>
          <w:szCs w:val="21"/>
        </w:rPr>
        <w:t>对于存在某种项目不合格或遗留问题的渔船，验船师可根据具体情况自行决定是否签发全期检验证书。</w:t>
      </w:r>
    </w:p>
    <w:p>
      <w:pPr>
        <w:jc w:val="left"/>
        <w:rPr>
          <w:szCs w:val="21"/>
        </w:rPr>
      </w:pPr>
      <w:r>
        <w:rPr>
          <w:rFonts w:hint="eastAsia"/>
          <w:szCs w:val="21"/>
        </w:rPr>
        <w:t>答案：×</w:t>
      </w:r>
    </w:p>
    <w:p>
      <w:pPr>
        <w:pStyle w:val="23"/>
        <w:numPr>
          <w:ilvl w:val="0"/>
          <w:numId w:val="1"/>
        </w:numPr>
        <w:ind w:firstLineChars="0"/>
        <w:jc w:val="left"/>
        <w:rPr>
          <w:szCs w:val="21"/>
        </w:rPr>
      </w:pPr>
      <w:r>
        <w:rPr>
          <w:rFonts w:hint="eastAsia"/>
          <w:szCs w:val="21"/>
        </w:rPr>
        <w:t>依据《国内海洋渔船法定检验技术规则（2019）》，</w:t>
      </w:r>
      <w:r>
        <w:rPr>
          <w:szCs w:val="21"/>
        </w:rPr>
        <w:t>船龄</w:t>
      </w:r>
      <w:r>
        <w:rPr>
          <w:rFonts w:hint="eastAsia"/>
          <w:szCs w:val="21"/>
          <w:lang w:val="en-US" w:eastAsia="zh-CN"/>
        </w:rPr>
        <w:t>10</w:t>
      </w:r>
      <w:r>
        <w:rPr>
          <w:color w:val="auto"/>
          <w:szCs w:val="21"/>
        </w:rPr>
        <w:t>年的</w:t>
      </w:r>
      <w:r>
        <w:rPr>
          <w:rFonts w:hint="eastAsia"/>
          <w:color w:val="auto"/>
          <w:szCs w:val="21"/>
          <w:lang w:val="en-US" w:eastAsia="zh-CN"/>
        </w:rPr>
        <w:t>船长21.00m</w:t>
      </w:r>
      <w:r>
        <w:rPr>
          <w:color w:val="auto"/>
          <w:szCs w:val="21"/>
        </w:rPr>
        <w:t>钢</w:t>
      </w:r>
      <w:r>
        <w:rPr>
          <w:szCs w:val="21"/>
        </w:rPr>
        <w:t>质海洋渔船，船舶检验证书的有效期限应不超过</w:t>
      </w:r>
      <w:r>
        <w:rPr>
          <w:rFonts w:hint="eastAsia"/>
          <w:szCs w:val="21"/>
          <w:lang w:val="en-US" w:eastAsia="zh-CN"/>
        </w:rPr>
        <w:t>60</w:t>
      </w:r>
      <w:r>
        <w:rPr>
          <w:szCs w:val="21"/>
        </w:rPr>
        <w:t>个月。</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初次检验应确认艏尖舱不是用来装载燃油、滑油和其他可燃油类的。</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新建渔船的初次检验，应由船舶所有人申报</w:t>
      </w:r>
      <w:r>
        <w:rPr>
          <w:rFonts w:hint="eastAsia"/>
          <w:szCs w:val="21"/>
        </w:rPr>
        <w:t>，</w:t>
      </w:r>
      <w:r>
        <w:rPr>
          <w:szCs w:val="21"/>
        </w:rPr>
        <w:t>也可由船舶所有人委托承造船厂向船舶检验机构申报。</w:t>
      </w:r>
    </w:p>
    <w:p>
      <w:pPr>
        <w:jc w:val="left"/>
        <w:rPr>
          <w:szCs w:val="21"/>
        </w:rPr>
      </w:pPr>
      <w:r>
        <w:rPr>
          <w:szCs w:val="21"/>
        </w:rPr>
        <w:t>答案：√</w:t>
      </w:r>
    </w:p>
    <w:p>
      <w:pPr>
        <w:pStyle w:val="23"/>
        <w:numPr>
          <w:ilvl w:val="0"/>
          <w:numId w:val="1"/>
        </w:numPr>
        <w:ind w:firstLineChars="0"/>
        <w:jc w:val="left"/>
        <w:rPr>
          <w:szCs w:val="21"/>
        </w:rPr>
      </w:pPr>
      <w:r>
        <w:rPr>
          <w:rFonts w:hint="eastAsia"/>
          <w:szCs w:val="21"/>
        </w:rPr>
        <w:t>依据《国内海洋小型渔船法定检验技术规则（2019）》，</w:t>
      </w:r>
      <w:r>
        <w:rPr>
          <w:szCs w:val="21"/>
        </w:rPr>
        <w:t>渔船的初次检验由制造地或者改造地具有相应检验权限的船舶检验机构实施。</w:t>
      </w:r>
    </w:p>
    <w:p>
      <w:pPr>
        <w:jc w:val="left"/>
        <w:rPr>
          <w:szCs w:val="21"/>
        </w:rPr>
      </w:pPr>
      <w:r>
        <w:rPr>
          <w:szCs w:val="21"/>
        </w:rPr>
        <w:t>答案：√</w:t>
      </w:r>
    </w:p>
    <w:p>
      <w:pPr>
        <w:pStyle w:val="23"/>
        <w:numPr>
          <w:ilvl w:val="0"/>
          <w:numId w:val="1"/>
        </w:numPr>
        <w:ind w:firstLineChars="0"/>
        <w:jc w:val="left"/>
        <w:rPr>
          <w:szCs w:val="21"/>
        </w:rPr>
      </w:pPr>
      <w:r>
        <w:rPr>
          <w:rFonts w:hint="eastAsia"/>
          <w:szCs w:val="21"/>
        </w:rPr>
        <w:t>依据《国内海洋小型渔船法定检验技术规则（2019）》，</w:t>
      </w:r>
      <w:r>
        <w:rPr>
          <w:szCs w:val="21"/>
        </w:rPr>
        <w:t>沿海小型渔船的法定检验种类有初次检验、年度检验、换证检验以及临时检验。</w:t>
      </w:r>
    </w:p>
    <w:p>
      <w:pPr>
        <w:jc w:val="left"/>
        <w:rPr>
          <w:szCs w:val="21"/>
        </w:rPr>
      </w:pPr>
      <w:r>
        <w:rPr>
          <w:szCs w:val="21"/>
        </w:rPr>
        <w:t>答案：√</w:t>
      </w:r>
    </w:p>
    <w:p>
      <w:pPr>
        <w:pStyle w:val="23"/>
        <w:numPr>
          <w:ilvl w:val="0"/>
          <w:numId w:val="1"/>
        </w:numPr>
        <w:ind w:firstLineChars="0"/>
        <w:jc w:val="left"/>
        <w:rPr>
          <w:szCs w:val="21"/>
        </w:rPr>
      </w:pPr>
      <w:r>
        <w:rPr>
          <w:rFonts w:hint="eastAsia"/>
          <w:szCs w:val="21"/>
        </w:rPr>
        <w:t>依据《国内海洋渔船法定检验技术规则（2019）》，</w:t>
      </w:r>
      <w:r>
        <w:rPr>
          <w:szCs w:val="21"/>
        </w:rPr>
        <w:t>期间检验应在相应证书的第2个周年日期前、后6个月内进行。</w:t>
      </w:r>
    </w:p>
    <w:p>
      <w:pPr>
        <w:jc w:val="left"/>
        <w:rPr>
          <w:szCs w:val="21"/>
        </w:rPr>
      </w:pPr>
      <w:r>
        <w:rPr>
          <w:rFonts w:hint="eastAsia"/>
          <w:szCs w:val="21"/>
        </w:rPr>
        <w:t>答案：×</w:t>
      </w:r>
    </w:p>
    <w:p>
      <w:pPr>
        <w:pStyle w:val="23"/>
        <w:numPr>
          <w:ilvl w:val="0"/>
          <w:numId w:val="1"/>
        </w:numPr>
        <w:ind w:firstLineChars="0"/>
        <w:jc w:val="left"/>
        <w:rPr>
          <w:szCs w:val="21"/>
        </w:rPr>
      </w:pPr>
      <w:r>
        <w:rPr>
          <w:rFonts w:hint="eastAsia"/>
          <w:szCs w:val="21"/>
        </w:rPr>
        <w:t>依据《国内海洋渔船法定检验技术规则（2019）》，</w:t>
      </w:r>
      <w:r>
        <w:rPr>
          <w:szCs w:val="21"/>
        </w:rPr>
        <w:t>期间检验系指对特定的渔船检验证书的有关项目，</w:t>
      </w:r>
      <w:r>
        <w:rPr>
          <w:rFonts w:hint="eastAsia"/>
          <w:szCs w:val="21"/>
        </w:rPr>
        <w:t>应</w:t>
      </w:r>
      <w:r>
        <w:rPr>
          <w:szCs w:val="21"/>
        </w:rPr>
        <w:t>在第3个周年进行的检验。期间检验应替代1次年度检验。</w:t>
      </w:r>
    </w:p>
    <w:p>
      <w:pPr>
        <w:jc w:val="left"/>
        <w:rPr>
          <w:szCs w:val="21"/>
        </w:rPr>
      </w:pPr>
      <w:r>
        <w:rPr>
          <w:rFonts w:hint="eastAsia"/>
          <w:szCs w:val="21"/>
        </w:rPr>
        <w:t>答案：×</w:t>
      </w:r>
    </w:p>
    <w:p>
      <w:pPr>
        <w:pStyle w:val="23"/>
        <w:numPr>
          <w:ilvl w:val="0"/>
          <w:numId w:val="1"/>
        </w:numPr>
        <w:ind w:firstLineChars="0"/>
        <w:jc w:val="left"/>
        <w:rPr>
          <w:szCs w:val="21"/>
        </w:rPr>
      </w:pPr>
      <w:r>
        <w:rPr>
          <w:rFonts w:hint="eastAsia"/>
          <w:szCs w:val="21"/>
        </w:rPr>
        <w:t>依据《国内海洋小型渔船法定检验技术规则（2019）》，</w:t>
      </w:r>
      <w:r>
        <w:rPr>
          <w:szCs w:val="21"/>
        </w:rPr>
        <w:t>换证检验系指对渔船检验证书有关的项目，按规定期限换发证书之前的检验。</w:t>
      </w:r>
      <w:r>
        <w:rPr>
          <w:rFonts w:hint="eastAsia"/>
          <w:szCs w:val="21"/>
        </w:rPr>
        <w:t>换证检验</w:t>
      </w:r>
      <w:r>
        <w:rPr>
          <w:szCs w:val="21"/>
        </w:rPr>
        <w:t>应在证书到期前的</w:t>
      </w:r>
      <w:r>
        <w:rPr>
          <w:rFonts w:hint="eastAsia"/>
          <w:szCs w:val="21"/>
        </w:rPr>
        <w:t>3个</w:t>
      </w:r>
      <w:r>
        <w:rPr>
          <w:szCs w:val="21"/>
        </w:rPr>
        <w:t>月之内完成。</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船舶检验证书有效期限届满，船舶所有人因船舶不在预定进行检验的港口而不能按时申报换证检验时，船舶检验机构认为正当和合理时，可将证书给予不超过3个月的展期。</w:t>
      </w:r>
    </w:p>
    <w:p>
      <w:pPr>
        <w:jc w:val="left"/>
        <w:rPr>
          <w:szCs w:val="21"/>
        </w:rPr>
      </w:pPr>
      <w:r>
        <w:rPr>
          <w:rFonts w:hint="eastAsia"/>
          <w:szCs w:val="21"/>
        </w:rPr>
        <w:t>答案：×</w:t>
      </w:r>
    </w:p>
    <w:p>
      <w:pPr>
        <w:pStyle w:val="23"/>
        <w:numPr>
          <w:ilvl w:val="0"/>
          <w:numId w:val="1"/>
        </w:numPr>
        <w:ind w:firstLineChars="0"/>
        <w:jc w:val="left"/>
        <w:rPr>
          <w:color w:val="auto"/>
          <w:szCs w:val="21"/>
        </w:rPr>
      </w:pPr>
      <w:r>
        <w:rPr>
          <w:rFonts w:hint="eastAsia"/>
          <w:szCs w:val="21"/>
        </w:rPr>
        <w:t>依据《国内海洋渔</w:t>
      </w:r>
      <w:r>
        <w:rPr>
          <w:rFonts w:hint="eastAsia"/>
          <w:color w:val="auto"/>
          <w:szCs w:val="21"/>
        </w:rPr>
        <w:t>船法定检验技术规则（2019）》，</w:t>
      </w:r>
      <w:r>
        <w:rPr>
          <w:color w:val="auto"/>
          <w:szCs w:val="21"/>
        </w:rPr>
        <w:t>船底外部检查</w:t>
      </w:r>
      <w:r>
        <w:rPr>
          <w:rFonts w:hint="eastAsia"/>
          <w:color w:val="auto"/>
          <w:szCs w:val="21"/>
          <w:lang w:val="en-US" w:eastAsia="zh-CN"/>
        </w:rPr>
        <w:t>一般</w:t>
      </w:r>
      <w:bookmarkStart w:id="0" w:name="_GoBack"/>
      <w:bookmarkEnd w:id="0"/>
      <w:r>
        <w:rPr>
          <w:color w:val="auto"/>
          <w:szCs w:val="21"/>
        </w:rPr>
        <w:t>应在干坞内进行</w:t>
      </w:r>
      <w:r>
        <w:rPr>
          <w:rFonts w:hint="eastAsia"/>
          <w:color w:val="auto"/>
          <w:szCs w:val="21"/>
        </w:rPr>
        <w:t>，但在具备一定条件下也能在船舶浮态下进行</w:t>
      </w:r>
      <w:r>
        <w:rPr>
          <w:color w:val="auto"/>
          <w:szCs w:val="21"/>
        </w:rPr>
        <w:t>。</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在任何5年内应至少进行2次船底外部检查，且任何2次之间的间隔时间应不超过36个月，其中1次应在换证检验时进行。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渔船在更改船名、船籍港或船舶所有权发生变更时，无须向船舶检验机构申报临时检验。</w:t>
      </w:r>
    </w:p>
    <w:p>
      <w:pPr>
        <w:jc w:val="left"/>
        <w:rPr>
          <w:szCs w:val="21"/>
        </w:rPr>
      </w:pPr>
      <w:r>
        <w:rPr>
          <w:rFonts w:hint="eastAsia"/>
          <w:szCs w:val="21"/>
        </w:rPr>
        <w:t>答案：×</w:t>
      </w:r>
    </w:p>
    <w:p>
      <w:pPr>
        <w:pStyle w:val="23"/>
        <w:numPr>
          <w:ilvl w:val="0"/>
          <w:numId w:val="1"/>
        </w:numPr>
        <w:ind w:firstLineChars="0"/>
        <w:jc w:val="left"/>
        <w:rPr>
          <w:szCs w:val="21"/>
        </w:rPr>
      </w:pPr>
      <w:r>
        <w:rPr>
          <w:rFonts w:hint="eastAsia"/>
          <w:szCs w:val="21"/>
        </w:rPr>
        <w:t>依据《国内海洋渔船法定检验技术规则（2019）》，</w:t>
      </w:r>
      <w:r>
        <w:rPr>
          <w:szCs w:val="21"/>
        </w:rPr>
        <w:t>渔船在发生影响船舶安全的海损或机损事故时，须向船舶检验机构申报临时检验。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渔船在船舶封存后启用时，无须向船舶检验机构申报临时检验。</w:t>
      </w:r>
    </w:p>
    <w:p>
      <w:pPr>
        <w:jc w:val="left"/>
        <w:rPr>
          <w:szCs w:val="21"/>
        </w:rPr>
      </w:pPr>
      <w:r>
        <w:rPr>
          <w:rFonts w:hint="eastAsia"/>
          <w:szCs w:val="21"/>
        </w:rPr>
        <w:t xml:space="preserve">答案：× </w:t>
      </w:r>
    </w:p>
    <w:p>
      <w:pPr>
        <w:pStyle w:val="23"/>
        <w:numPr>
          <w:ilvl w:val="0"/>
          <w:numId w:val="1"/>
        </w:numPr>
        <w:ind w:firstLineChars="0"/>
        <w:jc w:val="left"/>
        <w:rPr>
          <w:color w:val="auto"/>
          <w:szCs w:val="21"/>
        </w:rPr>
      </w:pPr>
      <w:r>
        <w:rPr>
          <w:rFonts w:hint="eastAsia"/>
          <w:color w:val="auto"/>
          <w:szCs w:val="21"/>
        </w:rPr>
        <w:t>依据《国内海洋渔船法定检验技术规则（2019）》，</w:t>
      </w:r>
      <w:r>
        <w:rPr>
          <w:rFonts w:hint="eastAsia"/>
          <w:color w:val="auto"/>
          <w:szCs w:val="21"/>
          <w:lang w:val="en-US" w:eastAsia="zh-CN"/>
        </w:rPr>
        <w:t>个别项目应特殊原因经</w:t>
      </w:r>
      <w:r>
        <w:rPr>
          <w:color w:val="auto"/>
          <w:szCs w:val="21"/>
        </w:rPr>
        <w:t>临时检验合格后，需要换发现有渔船检验证书时，新证书的有效期限以及下次检验的时间、类别应与现有证书相同。</w:t>
      </w:r>
    </w:p>
    <w:p>
      <w:pPr>
        <w:jc w:val="left"/>
        <w:rPr>
          <w:color w:val="auto"/>
          <w:szCs w:val="21"/>
        </w:rPr>
      </w:pPr>
      <w:r>
        <w:rPr>
          <w:rFonts w:hint="eastAsia"/>
          <w:color w:val="auto"/>
          <w:szCs w:val="21"/>
        </w:rPr>
        <w:t>答案：</w:t>
      </w:r>
      <w:r>
        <w:rPr>
          <w:color w:val="auto"/>
          <w:szCs w:val="21"/>
        </w:rPr>
        <w:t>√</w:t>
      </w:r>
    </w:p>
    <w:p>
      <w:pPr>
        <w:pStyle w:val="23"/>
        <w:numPr>
          <w:ilvl w:val="0"/>
          <w:numId w:val="1"/>
        </w:numPr>
        <w:snapToGrid w:val="0"/>
        <w:ind w:firstLineChars="0"/>
        <w:jc w:val="left"/>
        <w:rPr>
          <w:szCs w:val="21"/>
        </w:rPr>
      </w:pPr>
      <w:r>
        <w:rPr>
          <w:rFonts w:hint="eastAsia"/>
          <w:szCs w:val="21"/>
        </w:rPr>
        <w:t>依据《国内海洋渔船法定检验技术规则（2019）》，</w:t>
      </w:r>
      <w:r>
        <w:rPr>
          <w:szCs w:val="21"/>
        </w:rPr>
        <w:t>船舶检验机构对申报临时检验的船舶检验合格后，应当自检验完毕之日起</w:t>
      </w:r>
      <w:r>
        <w:rPr>
          <w:rFonts w:hint="eastAsia"/>
          <w:szCs w:val="21"/>
        </w:rPr>
        <w:t>3</w:t>
      </w:r>
      <w:r>
        <w:rPr>
          <w:szCs w:val="21"/>
        </w:rPr>
        <w:t>个工作日内在船舶检验证书上签署意见或签发船舶检验证书。</w:t>
      </w:r>
    </w:p>
    <w:p>
      <w:pPr>
        <w:snapToGrid w:val="0"/>
        <w:jc w:val="left"/>
        <w:rPr>
          <w:szCs w:val="21"/>
        </w:rPr>
      </w:pPr>
      <w:r>
        <w:rPr>
          <w:szCs w:val="21"/>
        </w:rPr>
        <w:t>答案：√</w:t>
      </w:r>
    </w:p>
    <w:p>
      <w:pPr>
        <w:pStyle w:val="23"/>
        <w:numPr>
          <w:ilvl w:val="0"/>
          <w:numId w:val="1"/>
        </w:numPr>
        <w:ind w:firstLineChars="0"/>
        <w:jc w:val="left"/>
        <w:rPr>
          <w:szCs w:val="21"/>
        </w:rPr>
      </w:pPr>
      <w:r>
        <w:rPr>
          <w:rFonts w:hint="eastAsia"/>
          <w:szCs w:val="21"/>
        </w:rPr>
        <w:t>依据《国内海洋小型渔船法定检验技术规则（2019）》，</w:t>
      </w:r>
      <w:r>
        <w:rPr>
          <w:szCs w:val="21"/>
        </w:rPr>
        <w:t>船舶检验机构对船舶所进行的任何检验完成以后，除为维修的目的而正常更换设备零部件外，未经船舶检验机构同意，不得改变经过检验的船舶结构、布置、机器、设备及其他项目。</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依据《国内海洋小型渔船法定检验技术规则（2019）》，</w:t>
      </w:r>
      <w:r>
        <w:rPr>
          <w:szCs w:val="21"/>
        </w:rPr>
        <w:t>未经船舶检验机构同意，改造、改变船舶结构或更动重要机械设备（包括变更主机功率）而影响船舶安全或防污染性能，检验证书将自行失效。</w:t>
      </w:r>
    </w:p>
    <w:p>
      <w:pPr>
        <w:jc w:val="left"/>
        <w:rPr>
          <w:szCs w:val="21"/>
        </w:rPr>
      </w:pPr>
      <w:r>
        <w:rPr>
          <w:rFonts w:hint="eastAsia"/>
          <w:szCs w:val="21"/>
        </w:rPr>
        <w:t>答案：</w:t>
      </w:r>
      <w:r>
        <w:rPr>
          <w:szCs w:val="21"/>
        </w:rPr>
        <w:t>√</w:t>
      </w:r>
    </w:p>
    <w:p>
      <w:pPr>
        <w:pStyle w:val="23"/>
        <w:numPr>
          <w:ilvl w:val="0"/>
          <w:numId w:val="1"/>
        </w:numPr>
        <w:snapToGrid w:val="0"/>
        <w:ind w:firstLineChars="0"/>
        <w:jc w:val="left"/>
        <w:rPr>
          <w:color w:val="auto"/>
          <w:szCs w:val="21"/>
        </w:rPr>
      </w:pPr>
      <w:r>
        <w:rPr>
          <w:rFonts w:hint="eastAsia"/>
          <w:szCs w:val="21"/>
        </w:rPr>
        <w:t>依据《国内海洋小型渔船法定检验技术规则（2019）》，</w:t>
      </w:r>
      <w:r>
        <w:rPr>
          <w:color w:val="auto"/>
          <w:szCs w:val="21"/>
        </w:rPr>
        <w:t>未经许可，擅自变更船身颜色，检验证书将自行失效。</w:t>
      </w:r>
    </w:p>
    <w:p>
      <w:pPr>
        <w:snapToGrid w:val="0"/>
        <w:jc w:val="left"/>
        <w:rPr>
          <w:szCs w:val="21"/>
        </w:rPr>
      </w:pPr>
      <w:r>
        <w:rPr>
          <w:rFonts w:hint="eastAsia"/>
          <w:szCs w:val="21"/>
        </w:rPr>
        <w:t xml:space="preserve">答案：× </w:t>
      </w:r>
    </w:p>
    <w:p>
      <w:pPr>
        <w:pStyle w:val="23"/>
        <w:numPr>
          <w:ilvl w:val="0"/>
          <w:numId w:val="1"/>
        </w:numPr>
        <w:ind w:firstLineChars="0"/>
        <w:jc w:val="left"/>
        <w:rPr>
          <w:szCs w:val="21"/>
        </w:rPr>
      </w:pPr>
      <w:r>
        <w:rPr>
          <w:rFonts w:hint="eastAsia"/>
          <w:szCs w:val="21"/>
        </w:rPr>
        <w:t>依据《国内海洋渔船法定检验技术规则（2019）》，</w:t>
      </w:r>
      <w:r>
        <w:rPr>
          <w:szCs w:val="21"/>
        </w:rPr>
        <w:t>新建船舶完工时，除另有规定者外，必须进行倾斜试验。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后续姐妹船的空船排水量测量结果应与做倾斜试验的首制船进行比较，若其空船排水量与首制船相差超过2%，或重心纵向位置相差超过1%船长时，该船应重新进行倾斜试验。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倾斜试验或空船排水量测量一旦结束，试验主持人与验船师等人员应在离船前对试验或测量数据进行签署确认。</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经批准的完工稳性资料一份应保存在船上。</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现有船舶在进行修理、改装、改建以及与之有关的舾装时，至少应继续符合其原先适用规范的要求。重大的修理、改装、改建以及与之有关的舾装，在主管机关认为合理和可行的范围内应满足现行法规的要求。</w:t>
      </w:r>
      <w:r>
        <w:rPr>
          <w:rFonts w:hint="eastAsia"/>
          <w:szCs w:val="21"/>
        </w:rPr>
        <w:t xml:space="preserve"> </w:t>
      </w:r>
    </w:p>
    <w:p>
      <w:pPr>
        <w:jc w:val="left"/>
        <w:rPr>
          <w:szCs w:val="21"/>
        </w:rPr>
      </w:pPr>
      <w:r>
        <w:rPr>
          <w:szCs w:val="21"/>
        </w:rPr>
        <w:t>答案：√</w:t>
      </w:r>
    </w:p>
    <w:p>
      <w:pPr>
        <w:pStyle w:val="23"/>
        <w:numPr>
          <w:ilvl w:val="0"/>
          <w:numId w:val="1"/>
        </w:numPr>
        <w:ind w:firstLineChars="0"/>
        <w:jc w:val="left"/>
        <w:rPr>
          <w:szCs w:val="21"/>
        </w:rPr>
      </w:pPr>
      <w:r>
        <w:rPr>
          <w:rFonts w:hint="eastAsia"/>
          <w:szCs w:val="21"/>
        </w:rPr>
        <w:t xml:space="preserve">依据《国内海洋渔船法定检验技术规则（2019）》，渔船设计图纸和技术文件的审查，原则上应由设计单位向船舶检验机构申报。若由船舶所有人或船舶修造企业等非渔船设计单位送审时，应附有设计单位同意送审的委托书。 </w:t>
      </w:r>
    </w:p>
    <w:p>
      <w:pPr>
        <w:jc w:val="left"/>
        <w:rPr>
          <w:szCs w:val="21"/>
        </w:rPr>
      </w:pPr>
      <w:r>
        <w:rPr>
          <w:szCs w:val="21"/>
        </w:rPr>
        <w:t>答案：√</w:t>
      </w:r>
    </w:p>
    <w:p>
      <w:pPr>
        <w:pStyle w:val="23"/>
        <w:numPr>
          <w:ilvl w:val="0"/>
          <w:numId w:val="1"/>
        </w:numPr>
        <w:ind w:firstLineChars="0"/>
        <w:jc w:val="left"/>
        <w:rPr>
          <w:szCs w:val="21"/>
        </w:rPr>
      </w:pPr>
      <w:r>
        <w:rPr>
          <w:rFonts w:hint="eastAsia"/>
          <w:szCs w:val="21"/>
        </w:rPr>
        <w:t>依据《国内海洋渔船法定检验技术规则（2019）》，</w:t>
      </w:r>
      <w:r>
        <w:rPr>
          <w:szCs w:val="21"/>
        </w:rPr>
        <w:t>国内渔船年度、</w:t>
      </w:r>
      <w:r>
        <w:rPr>
          <w:rFonts w:hint="eastAsia"/>
          <w:szCs w:val="21"/>
        </w:rPr>
        <w:t>期间、</w:t>
      </w:r>
      <w:r>
        <w:rPr>
          <w:szCs w:val="21"/>
        </w:rPr>
        <w:t>换证检验的现场检验由船舶修理地具有相应检验权限的渔船检验机构执行。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国内渔船的营运检验由船籍港船舶检验机构负责实施。因故不能回船籍港进行检验的，由船舶维修地船舶检验机构实施检验。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依据《国内海洋渔船法定检验技术规则（2019）》，</w:t>
      </w:r>
      <w:r>
        <w:rPr>
          <w:szCs w:val="21"/>
        </w:rPr>
        <w:t>船舶检验机构对申报营运检验的船舶检验合格后，应当自检验完毕之日起</w:t>
      </w:r>
      <w:r>
        <w:rPr>
          <w:rFonts w:hint="eastAsia"/>
          <w:szCs w:val="21"/>
        </w:rPr>
        <w:t>5</w:t>
      </w:r>
      <w:r>
        <w:rPr>
          <w:szCs w:val="21"/>
        </w:rPr>
        <w:t>个工作日内在船舶检验证书上签署意见或签发船舶检验证书。</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依据《国内海洋小型渔船法定检验技术规则（2019）》，</w:t>
      </w:r>
      <w:r>
        <w:rPr>
          <w:szCs w:val="21"/>
        </w:rPr>
        <w:t>沿海小型渔船的年度检验可以通过审查船舶所有人提交的《船舶安全技术状况声明书》的检验方式进行，不</w:t>
      </w:r>
      <w:r>
        <w:rPr>
          <w:rFonts w:hint="eastAsia"/>
          <w:szCs w:val="21"/>
          <w:lang w:val="en-US" w:eastAsia="zh-CN"/>
        </w:rPr>
        <w:t>到</w:t>
      </w:r>
      <w:r>
        <w:rPr>
          <w:szCs w:val="21"/>
        </w:rPr>
        <w:t>现场检验。</w:t>
      </w:r>
    </w:p>
    <w:p>
      <w:pPr>
        <w:jc w:val="left"/>
        <w:rPr>
          <w:szCs w:val="21"/>
        </w:rPr>
      </w:pPr>
      <w:r>
        <w:rPr>
          <w:rFonts w:hint="eastAsia"/>
          <w:szCs w:val="21"/>
        </w:rPr>
        <w:t>答案：</w:t>
      </w:r>
      <w:r>
        <w:rPr>
          <w:szCs w:val="21"/>
        </w:rPr>
        <w:t>√</w:t>
      </w:r>
    </w:p>
    <w:p>
      <w:pPr>
        <w:pStyle w:val="23"/>
        <w:numPr>
          <w:ilvl w:val="0"/>
          <w:numId w:val="1"/>
        </w:numPr>
        <w:ind w:firstLineChars="0"/>
        <w:jc w:val="left"/>
        <w:rPr>
          <w:szCs w:val="21"/>
        </w:rPr>
      </w:pPr>
      <w:r>
        <w:rPr>
          <w:rFonts w:hint="eastAsia"/>
          <w:szCs w:val="21"/>
        </w:rPr>
        <w:t>依据《国内海洋小型渔船法定检验技术规则（2019）》，</w:t>
      </w:r>
      <w:r>
        <w:rPr>
          <w:szCs w:val="21"/>
        </w:rPr>
        <w:t xml:space="preserve">小型渔船检验证书正本发给船舶检验申请人，检验证书副本及技术文件由船舶检验登记管理机构按规定存档。 </w:t>
      </w:r>
    </w:p>
    <w:p>
      <w:pPr>
        <w:jc w:val="left"/>
        <w:rPr>
          <w:szCs w:val="21"/>
        </w:rPr>
      </w:pPr>
      <w:r>
        <w:rPr>
          <w:szCs w:val="21"/>
        </w:rPr>
        <w:t>答案：√</w:t>
      </w: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925775"/>
      <w:docPartObj>
        <w:docPartGallery w:val="autotext"/>
      </w:docPartObj>
    </w:sdtPr>
    <w:sdtContent>
      <w:sdt>
        <w:sdtPr>
          <w:id w:val="-1705238520"/>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- 1 -</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w:t>
            </w:r>
            <w:r>
              <w:rPr>
                <w:b/>
                <w:bCs/>
                <w:sz w:val="24"/>
                <w:szCs w:val="24"/>
              </w:rPr>
              <w:fldChar w:fldCharType="end"/>
            </w:r>
          </w:p>
        </w:sdtContent>
      </w:sdt>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121EE"/>
    <w:multiLevelType w:val="multilevel"/>
    <w:tmpl w:val="0C5121EE"/>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MTQ0ZTExYzk0ZmQwNmE3NTAyOTRmMzJlM2M3OWYifQ=="/>
  </w:docVars>
  <w:rsids>
    <w:rsidRoot w:val="00347337"/>
    <w:rsid w:val="000127E3"/>
    <w:rsid w:val="000128AE"/>
    <w:rsid w:val="00016ED8"/>
    <w:rsid w:val="00020BC6"/>
    <w:rsid w:val="000234FA"/>
    <w:rsid w:val="0002574E"/>
    <w:rsid w:val="000375D8"/>
    <w:rsid w:val="00053C2E"/>
    <w:rsid w:val="00060D1A"/>
    <w:rsid w:val="000828A0"/>
    <w:rsid w:val="00086E1F"/>
    <w:rsid w:val="000C15AD"/>
    <w:rsid w:val="000C2CB5"/>
    <w:rsid w:val="000D02F4"/>
    <w:rsid w:val="000E40E7"/>
    <w:rsid w:val="00110CDB"/>
    <w:rsid w:val="00130580"/>
    <w:rsid w:val="00137B39"/>
    <w:rsid w:val="00153223"/>
    <w:rsid w:val="00174E20"/>
    <w:rsid w:val="00184945"/>
    <w:rsid w:val="001926F5"/>
    <w:rsid w:val="001A2BD8"/>
    <w:rsid w:val="001B26BC"/>
    <w:rsid w:val="001B3DAA"/>
    <w:rsid w:val="001E4DBB"/>
    <w:rsid w:val="001E609B"/>
    <w:rsid w:val="00201C16"/>
    <w:rsid w:val="00204E5A"/>
    <w:rsid w:val="00211605"/>
    <w:rsid w:val="00217A21"/>
    <w:rsid w:val="00224B7B"/>
    <w:rsid w:val="002267C8"/>
    <w:rsid w:val="00232914"/>
    <w:rsid w:val="00232A98"/>
    <w:rsid w:val="00234864"/>
    <w:rsid w:val="002448FC"/>
    <w:rsid w:val="00262117"/>
    <w:rsid w:val="00266BE5"/>
    <w:rsid w:val="002765AE"/>
    <w:rsid w:val="00286781"/>
    <w:rsid w:val="002935EC"/>
    <w:rsid w:val="00295753"/>
    <w:rsid w:val="002A7343"/>
    <w:rsid w:val="002A77E4"/>
    <w:rsid w:val="002B3A3F"/>
    <w:rsid w:val="002D33CD"/>
    <w:rsid w:val="002F1A22"/>
    <w:rsid w:val="002F253E"/>
    <w:rsid w:val="00302055"/>
    <w:rsid w:val="00306835"/>
    <w:rsid w:val="0031519F"/>
    <w:rsid w:val="00336D20"/>
    <w:rsid w:val="003412BF"/>
    <w:rsid w:val="003421DD"/>
    <w:rsid w:val="00347337"/>
    <w:rsid w:val="00356060"/>
    <w:rsid w:val="003824CC"/>
    <w:rsid w:val="00385355"/>
    <w:rsid w:val="00386C4C"/>
    <w:rsid w:val="00391CBB"/>
    <w:rsid w:val="00393742"/>
    <w:rsid w:val="00395CDC"/>
    <w:rsid w:val="003A35AE"/>
    <w:rsid w:val="003A3F9F"/>
    <w:rsid w:val="003A480B"/>
    <w:rsid w:val="003B3511"/>
    <w:rsid w:val="003B3EE9"/>
    <w:rsid w:val="003C13D0"/>
    <w:rsid w:val="003C7514"/>
    <w:rsid w:val="003D4704"/>
    <w:rsid w:val="003D54FF"/>
    <w:rsid w:val="003E52CC"/>
    <w:rsid w:val="003E561B"/>
    <w:rsid w:val="003F1FD9"/>
    <w:rsid w:val="003F5D24"/>
    <w:rsid w:val="00417719"/>
    <w:rsid w:val="004219CF"/>
    <w:rsid w:val="00422623"/>
    <w:rsid w:val="004236D1"/>
    <w:rsid w:val="004326C4"/>
    <w:rsid w:val="004452E6"/>
    <w:rsid w:val="00472043"/>
    <w:rsid w:val="0048616E"/>
    <w:rsid w:val="00486898"/>
    <w:rsid w:val="00494B52"/>
    <w:rsid w:val="004A1620"/>
    <w:rsid w:val="004A5BD6"/>
    <w:rsid w:val="004C1BDC"/>
    <w:rsid w:val="004E22BE"/>
    <w:rsid w:val="004F165C"/>
    <w:rsid w:val="00523869"/>
    <w:rsid w:val="00523AAB"/>
    <w:rsid w:val="005449AE"/>
    <w:rsid w:val="0054752A"/>
    <w:rsid w:val="00550D8E"/>
    <w:rsid w:val="00557BEF"/>
    <w:rsid w:val="00575B98"/>
    <w:rsid w:val="005B2E5F"/>
    <w:rsid w:val="005B4930"/>
    <w:rsid w:val="005B7E5C"/>
    <w:rsid w:val="005E4CCD"/>
    <w:rsid w:val="005E5461"/>
    <w:rsid w:val="005F2B72"/>
    <w:rsid w:val="00614881"/>
    <w:rsid w:val="00616F2D"/>
    <w:rsid w:val="00617839"/>
    <w:rsid w:val="00657514"/>
    <w:rsid w:val="00660F75"/>
    <w:rsid w:val="00663908"/>
    <w:rsid w:val="006A5C7E"/>
    <w:rsid w:val="006B09F6"/>
    <w:rsid w:val="006D731B"/>
    <w:rsid w:val="006E047B"/>
    <w:rsid w:val="006E208B"/>
    <w:rsid w:val="006E34E0"/>
    <w:rsid w:val="006F24AA"/>
    <w:rsid w:val="00700445"/>
    <w:rsid w:val="00702E6F"/>
    <w:rsid w:val="00702ED0"/>
    <w:rsid w:val="00720BBB"/>
    <w:rsid w:val="0072437C"/>
    <w:rsid w:val="007365F6"/>
    <w:rsid w:val="007434C5"/>
    <w:rsid w:val="00746AC3"/>
    <w:rsid w:val="0075576D"/>
    <w:rsid w:val="007871E5"/>
    <w:rsid w:val="00795AFB"/>
    <w:rsid w:val="007B0B3A"/>
    <w:rsid w:val="007B7E21"/>
    <w:rsid w:val="007F5E54"/>
    <w:rsid w:val="008020EF"/>
    <w:rsid w:val="008043F0"/>
    <w:rsid w:val="00834F70"/>
    <w:rsid w:val="008503CE"/>
    <w:rsid w:val="008652E8"/>
    <w:rsid w:val="00875BC3"/>
    <w:rsid w:val="008766C7"/>
    <w:rsid w:val="00886482"/>
    <w:rsid w:val="008878BF"/>
    <w:rsid w:val="00892A40"/>
    <w:rsid w:val="008A4AAB"/>
    <w:rsid w:val="008B04D3"/>
    <w:rsid w:val="008B1D50"/>
    <w:rsid w:val="008B433B"/>
    <w:rsid w:val="008C5962"/>
    <w:rsid w:val="008E6F96"/>
    <w:rsid w:val="00916D6D"/>
    <w:rsid w:val="00925AD6"/>
    <w:rsid w:val="0093160C"/>
    <w:rsid w:val="00931C26"/>
    <w:rsid w:val="009357DA"/>
    <w:rsid w:val="00936196"/>
    <w:rsid w:val="009406A2"/>
    <w:rsid w:val="00946D40"/>
    <w:rsid w:val="00966485"/>
    <w:rsid w:val="009864FE"/>
    <w:rsid w:val="00996106"/>
    <w:rsid w:val="009A2ED1"/>
    <w:rsid w:val="009B3C42"/>
    <w:rsid w:val="009D02DD"/>
    <w:rsid w:val="009D4D33"/>
    <w:rsid w:val="009D60B2"/>
    <w:rsid w:val="00A00E8A"/>
    <w:rsid w:val="00A1451F"/>
    <w:rsid w:val="00A210C3"/>
    <w:rsid w:val="00A32036"/>
    <w:rsid w:val="00A54E44"/>
    <w:rsid w:val="00A63ED0"/>
    <w:rsid w:val="00A743E5"/>
    <w:rsid w:val="00A8762C"/>
    <w:rsid w:val="00A878A1"/>
    <w:rsid w:val="00AA1612"/>
    <w:rsid w:val="00AB102B"/>
    <w:rsid w:val="00AE08D9"/>
    <w:rsid w:val="00AE1433"/>
    <w:rsid w:val="00AE270B"/>
    <w:rsid w:val="00B00AFA"/>
    <w:rsid w:val="00B01B0C"/>
    <w:rsid w:val="00B0437F"/>
    <w:rsid w:val="00B05DC3"/>
    <w:rsid w:val="00B21E09"/>
    <w:rsid w:val="00B35DBE"/>
    <w:rsid w:val="00B46C87"/>
    <w:rsid w:val="00B504E1"/>
    <w:rsid w:val="00B567BA"/>
    <w:rsid w:val="00B645F0"/>
    <w:rsid w:val="00B82A8A"/>
    <w:rsid w:val="00B90DA8"/>
    <w:rsid w:val="00B97E91"/>
    <w:rsid w:val="00BA117F"/>
    <w:rsid w:val="00BA1736"/>
    <w:rsid w:val="00BA230D"/>
    <w:rsid w:val="00BB1181"/>
    <w:rsid w:val="00BB2F4C"/>
    <w:rsid w:val="00BC4A1A"/>
    <w:rsid w:val="00C176C5"/>
    <w:rsid w:val="00C27197"/>
    <w:rsid w:val="00C32CA5"/>
    <w:rsid w:val="00C41880"/>
    <w:rsid w:val="00C53BA2"/>
    <w:rsid w:val="00C62215"/>
    <w:rsid w:val="00C67B27"/>
    <w:rsid w:val="00C70899"/>
    <w:rsid w:val="00C7268C"/>
    <w:rsid w:val="00C73E5C"/>
    <w:rsid w:val="00C86874"/>
    <w:rsid w:val="00C94F2B"/>
    <w:rsid w:val="00C966D8"/>
    <w:rsid w:val="00CA446F"/>
    <w:rsid w:val="00CB1DAD"/>
    <w:rsid w:val="00CD1994"/>
    <w:rsid w:val="00CD3E01"/>
    <w:rsid w:val="00CD4214"/>
    <w:rsid w:val="00D0585C"/>
    <w:rsid w:val="00D16784"/>
    <w:rsid w:val="00D203D1"/>
    <w:rsid w:val="00D21627"/>
    <w:rsid w:val="00DA5664"/>
    <w:rsid w:val="00DA7F3A"/>
    <w:rsid w:val="00DB0CB4"/>
    <w:rsid w:val="00DB11C7"/>
    <w:rsid w:val="00DB43D0"/>
    <w:rsid w:val="00DC66F8"/>
    <w:rsid w:val="00DE39FF"/>
    <w:rsid w:val="00DE6A78"/>
    <w:rsid w:val="00E11FDB"/>
    <w:rsid w:val="00E1536B"/>
    <w:rsid w:val="00E208C1"/>
    <w:rsid w:val="00E246C1"/>
    <w:rsid w:val="00E32C67"/>
    <w:rsid w:val="00E5294C"/>
    <w:rsid w:val="00E57A1D"/>
    <w:rsid w:val="00E66712"/>
    <w:rsid w:val="00E73D57"/>
    <w:rsid w:val="00E7682E"/>
    <w:rsid w:val="00E9209E"/>
    <w:rsid w:val="00EA2733"/>
    <w:rsid w:val="00EF376A"/>
    <w:rsid w:val="00F036F8"/>
    <w:rsid w:val="00F1116D"/>
    <w:rsid w:val="00F16622"/>
    <w:rsid w:val="00F239D8"/>
    <w:rsid w:val="00F253C7"/>
    <w:rsid w:val="00F35969"/>
    <w:rsid w:val="00F375AE"/>
    <w:rsid w:val="00F51681"/>
    <w:rsid w:val="00F61D15"/>
    <w:rsid w:val="00F64A82"/>
    <w:rsid w:val="00F80920"/>
    <w:rsid w:val="00F80DDC"/>
    <w:rsid w:val="00F82351"/>
    <w:rsid w:val="00FC0665"/>
    <w:rsid w:val="00FC61A0"/>
    <w:rsid w:val="00FC7F59"/>
    <w:rsid w:val="02AE0F75"/>
    <w:rsid w:val="037E2C77"/>
    <w:rsid w:val="04F66AC6"/>
    <w:rsid w:val="07DC1AF5"/>
    <w:rsid w:val="0B941820"/>
    <w:rsid w:val="0BB95A02"/>
    <w:rsid w:val="0C607954"/>
    <w:rsid w:val="0C8573BB"/>
    <w:rsid w:val="0CE00317"/>
    <w:rsid w:val="0ED62150"/>
    <w:rsid w:val="11537A88"/>
    <w:rsid w:val="11D16BFE"/>
    <w:rsid w:val="12656E4E"/>
    <w:rsid w:val="12DC3AAD"/>
    <w:rsid w:val="12DE15D3"/>
    <w:rsid w:val="13DD32C4"/>
    <w:rsid w:val="14B51D59"/>
    <w:rsid w:val="17076033"/>
    <w:rsid w:val="17175C31"/>
    <w:rsid w:val="174B2FAF"/>
    <w:rsid w:val="174D6A83"/>
    <w:rsid w:val="19436634"/>
    <w:rsid w:val="1D2D13E6"/>
    <w:rsid w:val="1E575E03"/>
    <w:rsid w:val="21BC51D5"/>
    <w:rsid w:val="220F17A9"/>
    <w:rsid w:val="23890EA7"/>
    <w:rsid w:val="253B0B07"/>
    <w:rsid w:val="266D6A9E"/>
    <w:rsid w:val="27765E26"/>
    <w:rsid w:val="2DA95979"/>
    <w:rsid w:val="2EC90F31"/>
    <w:rsid w:val="30502D5B"/>
    <w:rsid w:val="31FF498B"/>
    <w:rsid w:val="332C0C2A"/>
    <w:rsid w:val="366D31BF"/>
    <w:rsid w:val="381C6576"/>
    <w:rsid w:val="390803FE"/>
    <w:rsid w:val="39BC591B"/>
    <w:rsid w:val="3C7A386B"/>
    <w:rsid w:val="3ECA7A69"/>
    <w:rsid w:val="424539FC"/>
    <w:rsid w:val="44BC7116"/>
    <w:rsid w:val="46256F3D"/>
    <w:rsid w:val="46840DC3"/>
    <w:rsid w:val="49E1317B"/>
    <w:rsid w:val="4A2137F9"/>
    <w:rsid w:val="4A91694F"/>
    <w:rsid w:val="4F8922EB"/>
    <w:rsid w:val="4F9A62A6"/>
    <w:rsid w:val="51A2363C"/>
    <w:rsid w:val="521168E9"/>
    <w:rsid w:val="53A7219E"/>
    <w:rsid w:val="5402266C"/>
    <w:rsid w:val="57466FE4"/>
    <w:rsid w:val="59A53BC1"/>
    <w:rsid w:val="59C77C98"/>
    <w:rsid w:val="5A5D684E"/>
    <w:rsid w:val="5BD84D64"/>
    <w:rsid w:val="5CA655F9"/>
    <w:rsid w:val="5E2740C2"/>
    <w:rsid w:val="5E7B4063"/>
    <w:rsid w:val="5FD645CF"/>
    <w:rsid w:val="60367925"/>
    <w:rsid w:val="61A16C6A"/>
    <w:rsid w:val="6BA50DA6"/>
    <w:rsid w:val="6CAE230E"/>
    <w:rsid w:val="70AD3C34"/>
    <w:rsid w:val="7133359A"/>
    <w:rsid w:val="71B11502"/>
    <w:rsid w:val="7835260B"/>
    <w:rsid w:val="7A9D69F8"/>
    <w:rsid w:val="7B225671"/>
    <w:rsid w:val="7E096F22"/>
    <w:rsid w:val="7E7C2E97"/>
    <w:rsid w:val="7F7E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Cambria" w:hAnsi="Cambria" w:cs="黑体"/>
      <w:b/>
      <w:bCs/>
      <w:sz w:val="32"/>
      <w:szCs w:val="32"/>
    </w:rPr>
  </w:style>
  <w:style w:type="paragraph" w:styleId="3">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2"/>
    <w:qFormat/>
    <w:uiPriority w:val="0"/>
    <w:pPr>
      <w:shd w:val="clear" w:color="auto" w:fill="000080"/>
    </w:pPr>
  </w:style>
  <w:style w:type="paragraph" w:styleId="5">
    <w:name w:val="Plain Text"/>
    <w:basedOn w:val="1"/>
    <w:link w:val="19"/>
    <w:qFormat/>
    <w:uiPriority w:val="0"/>
    <w:rPr>
      <w:rFonts w:ascii="宋体" w:hAnsi="Courier New"/>
      <w:szCs w:val="20"/>
    </w:rPr>
  </w:style>
  <w:style w:type="paragraph" w:styleId="6">
    <w:name w:val="Date"/>
    <w:basedOn w:val="1"/>
    <w:next w:val="1"/>
    <w:link w:val="21"/>
    <w:qFormat/>
    <w:uiPriority w:val="0"/>
    <w:rPr>
      <w:szCs w:val="20"/>
    </w:rPr>
  </w:style>
  <w:style w:type="paragraph" w:styleId="7">
    <w:name w:val="Balloon Text"/>
    <w:basedOn w:val="1"/>
    <w:link w:val="20"/>
    <w:qFormat/>
    <w:uiPriority w:val="0"/>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0"/>
    <w:pPr>
      <w:ind w:firstLine="420" w:firstLineChars="200"/>
    </w:pPr>
    <w:rPr>
      <w:szCs w:val="20"/>
    </w:rPr>
  </w:style>
  <w:style w:type="character" w:styleId="13">
    <w:name w:val="page number"/>
    <w:basedOn w:val="12"/>
    <w:qFormat/>
    <w:uiPriority w:val="0"/>
  </w:style>
  <w:style w:type="character" w:customStyle="1" w:styleId="14">
    <w:name w:val="页眉 字符"/>
    <w:basedOn w:val="12"/>
    <w:link w:val="9"/>
    <w:qFormat/>
    <w:uiPriority w:val="0"/>
    <w:rPr>
      <w:sz w:val="18"/>
      <w:szCs w:val="18"/>
    </w:rPr>
  </w:style>
  <w:style w:type="character" w:customStyle="1" w:styleId="15">
    <w:name w:val="页脚 字符"/>
    <w:basedOn w:val="12"/>
    <w:link w:val="8"/>
    <w:qFormat/>
    <w:uiPriority w:val="99"/>
    <w:rPr>
      <w:sz w:val="18"/>
      <w:szCs w:val="18"/>
    </w:rPr>
  </w:style>
  <w:style w:type="character" w:customStyle="1" w:styleId="16">
    <w:name w:val="标题 2 字符"/>
    <w:basedOn w:val="12"/>
    <w:link w:val="2"/>
    <w:qFormat/>
    <w:uiPriority w:val="0"/>
    <w:rPr>
      <w:rFonts w:ascii="Cambria" w:hAnsi="Cambria" w:eastAsia="宋体" w:cs="黑体"/>
      <w:b/>
      <w:bCs/>
      <w:sz w:val="32"/>
      <w:szCs w:val="32"/>
    </w:rPr>
  </w:style>
  <w:style w:type="character" w:customStyle="1" w:styleId="17">
    <w:name w:val="标题 3 字符"/>
    <w:basedOn w:val="12"/>
    <w:link w:val="3"/>
    <w:qFormat/>
    <w:uiPriority w:val="0"/>
    <w:rPr>
      <w:rFonts w:ascii="Times New Roman" w:hAnsi="Times New Roman" w:eastAsia="宋体" w:cs="Times New Roman"/>
      <w:b/>
      <w:bCs/>
      <w:sz w:val="32"/>
      <w:szCs w:val="32"/>
    </w:rPr>
  </w:style>
  <w:style w:type="character" w:customStyle="1" w:styleId="18">
    <w:name w:val="cn71"/>
    <w:qFormat/>
    <w:uiPriority w:val="0"/>
    <w:rPr>
      <w:b/>
      <w:bCs/>
      <w:color w:val="0066FF"/>
      <w:sz w:val="16"/>
      <w:szCs w:val="16"/>
      <w:u w:val="none"/>
    </w:rPr>
  </w:style>
  <w:style w:type="character" w:customStyle="1" w:styleId="19">
    <w:name w:val="纯文本 字符"/>
    <w:basedOn w:val="12"/>
    <w:link w:val="5"/>
    <w:qFormat/>
    <w:uiPriority w:val="0"/>
    <w:rPr>
      <w:rFonts w:ascii="宋体" w:hAnsi="Courier New" w:eastAsia="宋体" w:cs="Times New Roman"/>
      <w:szCs w:val="20"/>
    </w:rPr>
  </w:style>
  <w:style w:type="character" w:customStyle="1" w:styleId="20">
    <w:name w:val="批注框文本 字符"/>
    <w:basedOn w:val="12"/>
    <w:link w:val="7"/>
    <w:qFormat/>
    <w:uiPriority w:val="0"/>
    <w:rPr>
      <w:rFonts w:ascii="Times New Roman" w:hAnsi="Times New Roman" w:eastAsia="宋体" w:cs="Times New Roman"/>
      <w:sz w:val="18"/>
      <w:szCs w:val="18"/>
    </w:rPr>
  </w:style>
  <w:style w:type="character" w:customStyle="1" w:styleId="21">
    <w:name w:val="日期 字符"/>
    <w:basedOn w:val="12"/>
    <w:link w:val="6"/>
    <w:qFormat/>
    <w:uiPriority w:val="0"/>
    <w:rPr>
      <w:rFonts w:ascii="Times New Roman" w:hAnsi="Times New Roman" w:eastAsia="宋体" w:cs="Times New Roman"/>
      <w:szCs w:val="20"/>
    </w:rPr>
  </w:style>
  <w:style w:type="character" w:customStyle="1" w:styleId="22">
    <w:name w:val="文档结构图 字符"/>
    <w:basedOn w:val="12"/>
    <w:link w:val="4"/>
    <w:qFormat/>
    <w:uiPriority w:val="0"/>
    <w:rPr>
      <w:rFonts w:ascii="Times New Roman" w:hAnsi="Times New Roman" w:eastAsia="宋体" w:cs="Times New Roman"/>
      <w:szCs w:val="24"/>
      <w:shd w:val="clear" w:color="auto" w:fill="000080"/>
    </w:rPr>
  </w:style>
  <w:style w:type="paragraph" w:styleId="23">
    <w:name w:val="List Paragraph"/>
    <w:basedOn w:val="1"/>
    <w:qFormat/>
    <w:uiPriority w:val="0"/>
    <w:pPr>
      <w:ind w:firstLine="420" w:firstLineChars="200"/>
    </w:pPr>
  </w:style>
  <w:style w:type="character" w:customStyle="1" w:styleId="24">
    <w:name w:val="正文文本缩进 3 字符"/>
    <w:basedOn w:val="12"/>
    <w:link w:val="10"/>
    <w:qFormat/>
    <w:uiPriority w:val="0"/>
    <w:rPr>
      <w:rFonts w:ascii="Times New Roman" w:hAnsi="Times New Roman" w:eastAsia="宋体" w:cs="Times New Roman"/>
      <w:szCs w:val="20"/>
    </w:rPr>
  </w:style>
  <w:style w:type="paragraph" w:customStyle="1" w:styleId="25">
    <w:name w:val="Char"/>
    <w:basedOn w:val="4"/>
    <w:qFormat/>
    <w:uiPriority w:val="0"/>
    <w:rPr>
      <w:rFonts w:ascii="Tahoma" w:hAnsi="Tahoma" w:cs="宋体"/>
      <w:sz w:val="28"/>
      <w:szCs w:val="28"/>
    </w:rPr>
  </w:style>
  <w:style w:type="character" w:customStyle="1" w:styleId="26">
    <w:name w:val="Plain Text Char"/>
    <w:semiHidden/>
    <w:qFormat/>
    <w:locked/>
    <w:uiPriority w:val="0"/>
    <w:rPr>
      <w:rFonts w:ascii="宋体" w:hAnsi="Courier New" w:eastAsia="宋体" w:cs="Times New Roman"/>
      <w:sz w:val="20"/>
      <w:szCs w:val="20"/>
    </w:rPr>
  </w:style>
  <w:style w:type="paragraph" w:customStyle="1" w:styleId="27">
    <w:name w:val="列出段落1"/>
    <w:basedOn w:val="1"/>
    <w:qFormat/>
    <w:uiPriority w:val="0"/>
    <w:pPr>
      <w:ind w:firstLine="420" w:firstLineChars="200"/>
    </w:pPr>
    <w:rPr>
      <w:rFonts w:ascii="Calibri" w:hAnsi="Calibri"/>
      <w:szCs w:val="22"/>
    </w:rPr>
  </w:style>
  <w:style w:type="paragraph" w:customStyle="1" w:styleId="28">
    <w:name w:val="样式"/>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9">
    <w:name w:val="No Spacing"/>
    <w:link w:val="30"/>
    <w:qFormat/>
    <w:uiPriority w:val="1"/>
    <w:rPr>
      <w:rFonts w:ascii="等线" w:hAnsi="等线" w:eastAsia="等线" w:cs="Times New Roman"/>
      <w:sz w:val="22"/>
      <w:szCs w:val="22"/>
      <w:lang w:val="en-US" w:eastAsia="zh-CN" w:bidi="ar-SA"/>
    </w:rPr>
  </w:style>
  <w:style w:type="character" w:customStyle="1" w:styleId="30">
    <w:name w:val="无间隔 字符"/>
    <w:link w:val="29"/>
    <w:qFormat/>
    <w:uiPriority w:val="1"/>
    <w:rPr>
      <w:rFonts w:ascii="等线" w:hAnsi="等线" w:eastAsia="等线" w:cs="Times New Roman"/>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80F51-5078-4DA9-AEFB-24717FD8DB53}">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2503</Words>
  <Characters>2616</Characters>
  <Lines>19</Lines>
  <Paragraphs>5</Paragraphs>
  <TotalTime>21</TotalTime>
  <ScaleCrop>false</ScaleCrop>
  <LinksUpToDate>false</LinksUpToDate>
  <CharactersWithSpaces>2622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2017-03-20T01:09:00Z</dcterms:created>
  <dc:creator>Windows 用户</dc:creator>
  <cp:lastModifiedBy>jsyj-ysc2</cp:lastModifiedBy>
  <cp:lastPrinted>2017-04-11T07:50:00Z</cp:lastPrinted>
  <dcterms:modified xsi:type="dcterms:W3CDTF">2023-09-09T07:39:57Z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B04A317ECC6448788A6295462A5E59BF_12</vt:lpwstr>
  </property>
</Properties>
</file>